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4C2DDA">
        <w:rPr>
          <w:sz w:val="28"/>
          <w:szCs w:val="28"/>
        </w:rPr>
        <w:t>16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2DDA" w:rsidRPr="004C2DDA" w:rsidRDefault="00003783" w:rsidP="004C2D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2DDA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2DDA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2DDA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2DDA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2DD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2DDA" w:rsidRPr="004C2DD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  от 14 сентября 2026 года № 1870-па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 xml:space="preserve"> Приморского края»</w:t>
      </w:r>
      <w:r w:rsidR="004C2DDA" w:rsidRPr="004C2DDA">
        <w:rPr>
          <w:rFonts w:ascii="Times New Roman" w:eastAsia="Times New Roman" w:hAnsi="Times New Roman" w:cs="Times New Roman"/>
          <w:spacing w:val="-7"/>
          <w:sz w:val="28"/>
          <w:szCs w:val="28"/>
        </w:rPr>
        <w:t>. Адрес (ме</w:t>
      </w:r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 xml:space="preserve">, г. </w:t>
      </w:r>
      <w:proofErr w:type="spellStart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>Партизанск</w:t>
      </w:r>
      <w:proofErr w:type="spellEnd"/>
      <w:r w:rsidR="004C2DDA" w:rsidRPr="004C2DDA">
        <w:rPr>
          <w:rFonts w:ascii="Times New Roman" w:eastAsia="Times New Roman" w:hAnsi="Times New Roman" w:cs="Times New Roman"/>
          <w:sz w:val="28"/>
          <w:szCs w:val="28"/>
        </w:rPr>
        <w:t>, ул. В.П. Мирошниченко, земельный участок 5. Площадь земельного участка 2850 кв. м.</w:t>
      </w:r>
    </w:p>
    <w:p w:rsidR="00E13DB9" w:rsidRPr="004C2DDA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DDA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2DDA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2DDA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2DDA">
        <w:rPr>
          <w:rFonts w:ascii="Times New Roman" w:hAnsi="Times New Roman" w:cs="Times New Roman"/>
          <w:sz w:val="28"/>
          <w:szCs w:val="28"/>
        </w:rPr>
        <w:t>Ж1-Б</w:t>
      </w:r>
      <w:r w:rsidRPr="004C2DDA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2DDA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2DD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2DDA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 развития управления экономики и собственности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14B7C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2DDA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39</cp:revision>
  <cp:lastPrinted>2026-09-17T02:11:00Z</cp:lastPrinted>
  <dcterms:created xsi:type="dcterms:W3CDTF">2022-06-27T06:29:00Z</dcterms:created>
  <dcterms:modified xsi:type="dcterms:W3CDTF">2026-09-17T02:11:00Z</dcterms:modified>
</cp:coreProperties>
</file>